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87" w:rsidRDefault="009A1E52" w:rsidP="009A1E52">
      <w:pPr>
        <w:jc w:val="center"/>
        <w:rPr>
          <w:rFonts w:ascii="Times New Roman" w:hAnsi="Times New Roman" w:cs="Times New Roman"/>
          <w:b/>
          <w:sz w:val="28"/>
          <w:szCs w:val="28"/>
        </w:rPr>
      </w:pPr>
      <w:r>
        <w:rPr>
          <w:rFonts w:ascii="Times New Roman" w:hAnsi="Times New Roman" w:cs="Times New Roman"/>
          <w:b/>
          <w:sz w:val="28"/>
          <w:szCs w:val="28"/>
        </w:rPr>
        <w:t>Sudahkah  H</w:t>
      </w:r>
      <w:r w:rsidR="002F1087" w:rsidRPr="009A1E52">
        <w:rPr>
          <w:rFonts w:ascii="Times New Roman" w:hAnsi="Times New Roman" w:cs="Times New Roman"/>
          <w:b/>
          <w:sz w:val="28"/>
          <w:szCs w:val="28"/>
        </w:rPr>
        <w:t xml:space="preserve">ak </w:t>
      </w:r>
      <w:r>
        <w:rPr>
          <w:rFonts w:ascii="Times New Roman" w:hAnsi="Times New Roman" w:cs="Times New Roman"/>
          <w:b/>
          <w:sz w:val="28"/>
          <w:szCs w:val="28"/>
        </w:rPr>
        <w:t xml:space="preserve"> </w:t>
      </w:r>
      <w:r w:rsidR="002F1087" w:rsidRPr="009A1E52">
        <w:rPr>
          <w:rFonts w:ascii="Times New Roman" w:hAnsi="Times New Roman" w:cs="Times New Roman"/>
          <w:b/>
          <w:sz w:val="28"/>
          <w:szCs w:val="28"/>
        </w:rPr>
        <w:t xml:space="preserve">TKI </w:t>
      </w:r>
      <w:r>
        <w:rPr>
          <w:rFonts w:ascii="Times New Roman" w:hAnsi="Times New Roman" w:cs="Times New Roman"/>
          <w:b/>
          <w:sz w:val="28"/>
          <w:szCs w:val="28"/>
        </w:rPr>
        <w:t xml:space="preserve"> </w:t>
      </w:r>
      <w:r w:rsidR="004048C3">
        <w:rPr>
          <w:rFonts w:ascii="Times New Roman" w:hAnsi="Times New Roman" w:cs="Times New Roman"/>
          <w:b/>
          <w:sz w:val="28"/>
          <w:szCs w:val="28"/>
        </w:rPr>
        <w:t>K</w:t>
      </w:r>
      <w:r w:rsidR="002F1087" w:rsidRPr="009A1E52">
        <w:rPr>
          <w:rFonts w:ascii="Times New Roman" w:hAnsi="Times New Roman" w:cs="Times New Roman"/>
          <w:b/>
          <w:sz w:val="28"/>
          <w:szCs w:val="28"/>
        </w:rPr>
        <w:t xml:space="preserve">ita </w:t>
      </w:r>
      <w:r>
        <w:rPr>
          <w:rFonts w:ascii="Times New Roman" w:hAnsi="Times New Roman" w:cs="Times New Roman"/>
          <w:b/>
          <w:sz w:val="28"/>
          <w:szCs w:val="28"/>
        </w:rPr>
        <w:t xml:space="preserve"> </w:t>
      </w:r>
      <w:r w:rsidR="004048C3">
        <w:rPr>
          <w:rFonts w:ascii="Times New Roman" w:hAnsi="Times New Roman" w:cs="Times New Roman"/>
          <w:b/>
          <w:sz w:val="28"/>
          <w:szCs w:val="28"/>
        </w:rPr>
        <w:t>ditegakkan? Berkaca dari K</w:t>
      </w:r>
      <w:r w:rsidR="002F1087" w:rsidRPr="009A1E52">
        <w:rPr>
          <w:rFonts w:ascii="Times New Roman" w:hAnsi="Times New Roman" w:cs="Times New Roman"/>
          <w:b/>
          <w:sz w:val="28"/>
          <w:szCs w:val="28"/>
        </w:rPr>
        <w:t>asus TKI di Malaysia</w:t>
      </w:r>
    </w:p>
    <w:p w:rsidR="0042692C" w:rsidRDefault="0042692C" w:rsidP="0042692C">
      <w:pPr>
        <w:rPr>
          <w:rFonts w:ascii="Times New Roman" w:hAnsi="Times New Roman" w:cs="Times New Roman"/>
          <w:sz w:val="24"/>
          <w:szCs w:val="24"/>
        </w:rPr>
      </w:pPr>
    </w:p>
    <w:p w:rsidR="0042692C" w:rsidRPr="0042692C" w:rsidRDefault="0042692C" w:rsidP="0042692C">
      <w:pP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8240" behindDoc="1" locked="0" layoutInCell="1" allowOverlap="1">
            <wp:simplePos x="0" y="0"/>
            <wp:positionH relativeFrom="column">
              <wp:posOffset>285750</wp:posOffset>
            </wp:positionH>
            <wp:positionV relativeFrom="paragraph">
              <wp:posOffset>245745</wp:posOffset>
            </wp:positionV>
            <wp:extent cx="5248275" cy="3257550"/>
            <wp:effectExtent l="19050" t="0" r="9525" b="0"/>
            <wp:wrapTight wrapText="bothSides">
              <wp:wrapPolygon edited="0">
                <wp:start x="-78" y="0"/>
                <wp:lineTo x="-78" y="21474"/>
                <wp:lineTo x="21639" y="21474"/>
                <wp:lineTo x="21639" y="0"/>
                <wp:lineTo x="-78" y="0"/>
              </wp:wrapPolygon>
            </wp:wrapTight>
            <wp:docPr id="1" name="Picture 0" descr="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I.jpg"/>
                    <pic:cNvPicPr/>
                  </pic:nvPicPr>
                  <pic:blipFill>
                    <a:blip r:embed="rId8"/>
                    <a:stretch>
                      <a:fillRect/>
                    </a:stretch>
                  </pic:blipFill>
                  <pic:spPr>
                    <a:xfrm>
                      <a:off x="0" y="0"/>
                      <a:ext cx="5248275" cy="3257550"/>
                    </a:xfrm>
                    <a:prstGeom prst="rect">
                      <a:avLst/>
                    </a:prstGeom>
                  </pic:spPr>
                </pic:pic>
              </a:graphicData>
            </a:graphic>
          </wp:anchor>
        </w:drawing>
      </w:r>
      <w:r w:rsidRPr="0042692C">
        <w:rPr>
          <w:rFonts w:ascii="Times New Roman" w:hAnsi="Times New Roman" w:cs="Times New Roman"/>
          <w:sz w:val="24"/>
          <w:szCs w:val="24"/>
        </w:rPr>
        <w:t>Oleh : Rini Puspita Julianti</w:t>
      </w:r>
    </w:p>
    <w:p w:rsidR="006E50DF" w:rsidRPr="00CC751A" w:rsidRDefault="006E50DF" w:rsidP="004A6BE7">
      <w:pPr>
        <w:rPr>
          <w:rFonts w:ascii="Times New Roman" w:hAnsi="Times New Roman" w:cs="Times New Roman"/>
          <w:b/>
          <w:color w:val="00B050"/>
          <w:sz w:val="24"/>
          <w:szCs w:val="24"/>
        </w:rPr>
      </w:pPr>
    </w:p>
    <w:p w:rsidR="0042692C" w:rsidRDefault="0042692C" w:rsidP="00DA559A">
      <w:pPr>
        <w:spacing w:line="360" w:lineRule="auto"/>
        <w:ind w:firstLine="720"/>
        <w:jc w:val="both"/>
        <w:rPr>
          <w:rFonts w:ascii="Times New Roman" w:hAnsi="Times New Roman" w:cs="Times New Roman"/>
          <w:sz w:val="24"/>
          <w:szCs w:val="24"/>
        </w:rPr>
      </w:pPr>
    </w:p>
    <w:p w:rsidR="0042692C" w:rsidRDefault="0042692C" w:rsidP="00DA559A">
      <w:pPr>
        <w:spacing w:line="360" w:lineRule="auto"/>
        <w:ind w:firstLine="720"/>
        <w:jc w:val="both"/>
        <w:rPr>
          <w:rFonts w:ascii="Times New Roman" w:hAnsi="Times New Roman" w:cs="Times New Roman"/>
          <w:sz w:val="24"/>
          <w:szCs w:val="24"/>
        </w:rPr>
      </w:pPr>
    </w:p>
    <w:p w:rsidR="0042692C" w:rsidRDefault="0042692C" w:rsidP="00DA559A">
      <w:pPr>
        <w:spacing w:line="360" w:lineRule="auto"/>
        <w:ind w:firstLine="720"/>
        <w:jc w:val="both"/>
        <w:rPr>
          <w:rFonts w:ascii="Times New Roman" w:hAnsi="Times New Roman" w:cs="Times New Roman"/>
          <w:sz w:val="24"/>
          <w:szCs w:val="24"/>
        </w:rPr>
      </w:pPr>
    </w:p>
    <w:p w:rsidR="00B26E90" w:rsidRDefault="006301F2" w:rsidP="00DA55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Menjadi TKI merupa</w:t>
      </w:r>
      <w:r w:rsidR="00672DDB">
        <w:rPr>
          <w:rFonts w:ascii="Times New Roman" w:hAnsi="Times New Roman" w:cs="Times New Roman"/>
          <w:sz w:val="24"/>
          <w:szCs w:val="24"/>
          <w:lang w:val="en-US"/>
        </w:rPr>
        <w:t>kan</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jalan yang dipilih</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sebagian</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masyarakat yang disebabkan</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oleh</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kurangnya</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penyerapan</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lapangan</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kerja di dalam</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negeri.</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Selain</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itu, orang mau</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menjadi TKI karena</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tingkat</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upah di luar</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negeri</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lebih</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menggiurkan</w:t>
      </w:r>
      <w:r w:rsidR="002206A9">
        <w:rPr>
          <w:rFonts w:ascii="Times New Roman" w:hAnsi="Times New Roman" w:cs="Times New Roman"/>
          <w:sz w:val="24"/>
          <w:szCs w:val="24"/>
        </w:rPr>
        <w:t xml:space="preserve"> </w:t>
      </w:r>
      <w:r w:rsidR="002206A9">
        <w:rPr>
          <w:rFonts w:ascii="Times New Roman" w:hAnsi="Times New Roman" w:cs="Times New Roman"/>
          <w:sz w:val="24"/>
          <w:szCs w:val="24"/>
          <w:lang w:val="en-US"/>
        </w:rPr>
        <w:t>dibanding</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upah di dala</w:t>
      </w:r>
      <w:r w:rsidR="00672DDB">
        <w:rPr>
          <w:rFonts w:ascii="Times New Roman" w:hAnsi="Times New Roman" w:cs="Times New Roman"/>
          <w:sz w:val="24"/>
          <w:szCs w:val="24"/>
          <w:lang w:val="en-US"/>
        </w:rPr>
        <w:t>m</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negeri.</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Dari segi</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sosial, seorang TKI mempunyai</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kebanggaan</w:t>
      </w:r>
      <w:r w:rsidR="002206A9">
        <w:rPr>
          <w:rFonts w:ascii="Times New Roman" w:hAnsi="Times New Roman" w:cs="Times New Roman"/>
          <w:sz w:val="24"/>
          <w:szCs w:val="24"/>
        </w:rPr>
        <w:t xml:space="preserve"> </w:t>
      </w:r>
      <w:r>
        <w:rPr>
          <w:rFonts w:ascii="Times New Roman" w:hAnsi="Times New Roman" w:cs="Times New Roman"/>
          <w:sz w:val="24"/>
          <w:szCs w:val="24"/>
          <w:lang w:val="en-US"/>
        </w:rPr>
        <w:t>tersendiri</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karena</w:t>
      </w:r>
      <w:r w:rsidR="002206A9">
        <w:rPr>
          <w:rFonts w:ascii="Times New Roman" w:hAnsi="Times New Roman" w:cs="Times New Roman"/>
          <w:sz w:val="24"/>
          <w:szCs w:val="24"/>
        </w:rPr>
        <w:t xml:space="preserve"> </w:t>
      </w:r>
      <w:r w:rsidR="00DA559A">
        <w:rPr>
          <w:rFonts w:ascii="Times New Roman" w:hAnsi="Times New Roman" w:cs="Times New Roman"/>
          <w:sz w:val="24"/>
          <w:szCs w:val="24"/>
          <w:lang w:val="en-US"/>
        </w:rPr>
        <w:t>bi</w:t>
      </w:r>
      <w:r w:rsidR="00DA559A">
        <w:rPr>
          <w:rFonts w:ascii="Times New Roman" w:hAnsi="Times New Roman" w:cs="Times New Roman"/>
          <w:sz w:val="24"/>
          <w:szCs w:val="24"/>
        </w:rPr>
        <w:t>sa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bekerja di luar</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negeri</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walau</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hanya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menjadi</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pekerja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domestik.</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Begitulah</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tujuan</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awal yang ada di benak</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mereka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sehingga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akhirnya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mereka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ingin</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atau</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secara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terpaksa</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menjadi</w:t>
      </w:r>
      <w:r w:rsidR="002206A9">
        <w:rPr>
          <w:rFonts w:ascii="Times New Roman" w:hAnsi="Times New Roman" w:cs="Times New Roman"/>
          <w:sz w:val="24"/>
          <w:szCs w:val="24"/>
        </w:rPr>
        <w:t xml:space="preserve"> </w:t>
      </w:r>
      <w:r w:rsidR="00672DDB">
        <w:rPr>
          <w:rFonts w:ascii="Times New Roman" w:hAnsi="Times New Roman" w:cs="Times New Roman"/>
          <w:sz w:val="24"/>
          <w:szCs w:val="24"/>
          <w:lang w:val="en-US"/>
        </w:rPr>
        <w:t>seorang TKI.</w:t>
      </w:r>
    </w:p>
    <w:p w:rsidR="00DA559A" w:rsidRPr="00DA559A" w:rsidRDefault="00DA559A" w:rsidP="00DA559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Kali ini kita akan membahas tentang TKI di Malaysia. Mengapa Malaysia? Karena TKI terbanyak dikirimkan ke negara serumpun kita itu. </w:t>
      </w:r>
      <w:r w:rsidR="005A5138">
        <w:rPr>
          <w:rFonts w:ascii="Times New Roman" w:hAnsi="Times New Roman" w:cs="Times New Roman"/>
          <w:sz w:val="24"/>
          <w:szCs w:val="24"/>
        </w:rPr>
        <w:t xml:space="preserve">Hal ini mungkin karena untuk bekerja di Malaysia, TKI tidak perlu belajar banyak mengenai budaya dan bahasa di sana sebab bahasa mereka mirip dengan bahasa Indonesia. Selain itu, tentunya tujuan utama mereka adalah untuk mendapatkan upah yang lebih tinggi di sana. </w:t>
      </w:r>
      <w:r>
        <w:rPr>
          <w:rFonts w:ascii="Times New Roman" w:hAnsi="Times New Roman" w:cs="Times New Roman"/>
          <w:sz w:val="24"/>
          <w:szCs w:val="24"/>
        </w:rPr>
        <w:t xml:space="preserve">Namun, sayangnya banyak kasus mengenai TKI di sana seperti kasus TKI melarikan diri, penganiayaan, pelecehan seksual, bahkan sampai ke hukum pancung. </w:t>
      </w:r>
    </w:p>
    <w:p w:rsidR="00E8258E" w:rsidRDefault="002206A9" w:rsidP="00E825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Berikut kasus </w:t>
      </w:r>
      <w:r w:rsidR="00E8258E">
        <w:rPr>
          <w:rFonts w:ascii="Times New Roman" w:hAnsi="Times New Roman" w:cs="Times New Roman"/>
          <w:sz w:val="24"/>
          <w:szCs w:val="24"/>
        </w:rPr>
        <w:t>terkait tentang masalah penembakan TKI di Malaysia beberapa waktu yang lalu.</w:t>
      </w:r>
    </w:p>
    <w:p w:rsidR="005670E3" w:rsidRDefault="00F45CD5" w:rsidP="005E440B">
      <w:pPr>
        <w:spacing w:line="360" w:lineRule="auto"/>
        <w:ind w:firstLine="720"/>
        <w:jc w:val="both"/>
        <w:rPr>
          <w:rFonts w:ascii="Times New Roman" w:hAnsi="Times New Roman" w:cs="Times New Roman"/>
          <w:i/>
          <w:sz w:val="24"/>
          <w:szCs w:val="24"/>
        </w:rPr>
      </w:pPr>
      <w:r w:rsidRPr="00E8258E">
        <w:rPr>
          <w:rFonts w:ascii="Times New Roman" w:hAnsi="Times New Roman" w:cs="Times New Roman"/>
          <w:i/>
          <w:sz w:val="24"/>
          <w:szCs w:val="24"/>
        </w:rPr>
        <w:lastRenderedPageBreak/>
        <w:t>Baru-baru ini, tanggal 25 Maret 2012, kembali terdengar kabar mengenai tertembak</w:t>
      </w:r>
      <w:r w:rsidR="005670E3">
        <w:rPr>
          <w:rFonts w:ascii="Times New Roman" w:hAnsi="Times New Roman" w:cs="Times New Roman"/>
          <w:i/>
          <w:sz w:val="24"/>
          <w:szCs w:val="24"/>
        </w:rPr>
        <w:t>nya tiga orang TKI di Malaysia</w:t>
      </w:r>
      <w:r w:rsidRPr="00E8258E">
        <w:rPr>
          <w:rFonts w:ascii="Times New Roman" w:hAnsi="Times New Roman" w:cs="Times New Roman"/>
          <w:i/>
          <w:sz w:val="24"/>
          <w:szCs w:val="24"/>
        </w:rPr>
        <w:t>.</w:t>
      </w:r>
      <w:r w:rsidR="002206A9">
        <w:rPr>
          <w:rFonts w:ascii="Times New Roman" w:hAnsi="Times New Roman" w:cs="Times New Roman"/>
          <w:i/>
          <w:sz w:val="24"/>
          <w:szCs w:val="24"/>
        </w:rPr>
        <w:t xml:space="preserve"> </w:t>
      </w:r>
      <w:r w:rsidR="005670E3" w:rsidRPr="005670E3">
        <w:rPr>
          <w:rFonts w:ascii="Times New Roman" w:hAnsi="Times New Roman" w:cs="Times New Roman"/>
          <w:i/>
          <w:sz w:val="24"/>
          <w:szCs w:val="24"/>
        </w:rPr>
        <w:t>Penembakan dilakukan atas dugaan para TKI melakukan upaya perampokan di kawasan Kampung Tampin Kanan Tinggi</w:t>
      </w:r>
      <w:r w:rsidR="005670E3">
        <w:rPr>
          <w:rFonts w:ascii="Times New Roman" w:hAnsi="Times New Roman" w:cs="Times New Roman"/>
          <w:i/>
          <w:sz w:val="24"/>
          <w:szCs w:val="24"/>
        </w:rPr>
        <w:t>, Port Dickson, Negeri Sembilan.</w:t>
      </w:r>
      <w:r w:rsidR="002206A9">
        <w:rPr>
          <w:rFonts w:ascii="Times New Roman" w:hAnsi="Times New Roman" w:cs="Times New Roman"/>
          <w:i/>
          <w:sz w:val="24"/>
          <w:szCs w:val="24"/>
        </w:rPr>
        <w:t xml:space="preserve"> </w:t>
      </w:r>
      <w:r w:rsidR="005670E3">
        <w:rPr>
          <w:rFonts w:ascii="Times New Roman" w:hAnsi="Times New Roman" w:cs="Times New Roman"/>
          <w:i/>
          <w:sz w:val="24"/>
          <w:szCs w:val="24"/>
        </w:rPr>
        <w:t>P</w:t>
      </w:r>
      <w:r w:rsidR="005670E3" w:rsidRPr="005670E3">
        <w:rPr>
          <w:rFonts w:ascii="Times New Roman" w:hAnsi="Times New Roman" w:cs="Times New Roman"/>
          <w:i/>
          <w:sz w:val="24"/>
          <w:szCs w:val="24"/>
        </w:rPr>
        <w:t>ara TKI berusaha melawan hingga polisi melepaskan tembakan berkali-kali ke bagian wajah dan tubuh atau dada, yang kemudian membuat ketiganya meninggal dengan cara mengenaskan.</w:t>
      </w:r>
      <w:r w:rsidR="0073279A">
        <w:rPr>
          <w:rStyle w:val="FootnoteReference"/>
          <w:rFonts w:ascii="Times New Roman" w:hAnsi="Times New Roman" w:cs="Times New Roman"/>
          <w:i/>
          <w:sz w:val="24"/>
          <w:szCs w:val="24"/>
        </w:rPr>
        <w:footnoteReference w:id="2"/>
      </w:r>
    </w:p>
    <w:p w:rsidR="005E440B" w:rsidRDefault="00751565" w:rsidP="005E44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Kasus tersebut bukanlah kasus baru yang terjadi di Malaysia. </w:t>
      </w:r>
      <w:r w:rsidR="00492C61">
        <w:rPr>
          <w:rFonts w:ascii="Times New Roman" w:hAnsi="Times New Roman" w:cs="Times New Roman"/>
          <w:sz w:val="24"/>
          <w:szCs w:val="24"/>
        </w:rPr>
        <w:t>Sebelumnya ada 3 kasus penembakan serupa di Malaysia seperti kasus di atas yang masih menggantung kepastian hukumnya</w:t>
      </w:r>
      <w:r w:rsidR="00077860">
        <w:rPr>
          <w:rFonts w:ascii="Times New Roman" w:hAnsi="Times New Roman" w:cs="Times New Roman"/>
          <w:sz w:val="24"/>
          <w:szCs w:val="24"/>
        </w:rPr>
        <w:t>.</w:t>
      </w:r>
      <w:r w:rsidR="002206A9">
        <w:rPr>
          <w:rFonts w:ascii="Times New Roman" w:hAnsi="Times New Roman" w:cs="Times New Roman"/>
          <w:sz w:val="24"/>
          <w:szCs w:val="24"/>
        </w:rPr>
        <w:t xml:space="preserve"> </w:t>
      </w:r>
      <w:r w:rsidR="00492C61">
        <w:rPr>
          <w:rFonts w:ascii="Times New Roman" w:hAnsi="Times New Roman" w:cs="Times New Roman"/>
          <w:sz w:val="24"/>
          <w:szCs w:val="24"/>
        </w:rPr>
        <w:t>Selain kasus penembakan</w:t>
      </w:r>
      <w:r w:rsidR="00697CCA">
        <w:rPr>
          <w:rFonts w:ascii="Times New Roman" w:hAnsi="Times New Roman" w:cs="Times New Roman"/>
          <w:sz w:val="24"/>
          <w:szCs w:val="24"/>
        </w:rPr>
        <w:t xml:space="preserve"> tadi</w:t>
      </w:r>
      <w:r w:rsidR="00492C61">
        <w:rPr>
          <w:rFonts w:ascii="Times New Roman" w:hAnsi="Times New Roman" w:cs="Times New Roman"/>
          <w:sz w:val="24"/>
          <w:szCs w:val="24"/>
        </w:rPr>
        <w:t xml:space="preserve">, </w:t>
      </w:r>
      <w:r w:rsidR="00697CCA">
        <w:rPr>
          <w:rFonts w:ascii="Times New Roman" w:hAnsi="Times New Roman" w:cs="Times New Roman"/>
          <w:sz w:val="24"/>
          <w:szCs w:val="24"/>
        </w:rPr>
        <w:t>masih banyak juga</w:t>
      </w:r>
      <w:r w:rsidR="00492C61">
        <w:rPr>
          <w:rFonts w:ascii="Times New Roman" w:hAnsi="Times New Roman" w:cs="Times New Roman"/>
          <w:sz w:val="24"/>
          <w:szCs w:val="24"/>
        </w:rPr>
        <w:t xml:space="preserve"> kasus-kasus kekerasan yang menimpa TKI </w:t>
      </w:r>
      <w:r w:rsidR="00697CCA">
        <w:rPr>
          <w:rFonts w:ascii="Times New Roman" w:hAnsi="Times New Roman" w:cs="Times New Roman"/>
          <w:sz w:val="24"/>
          <w:szCs w:val="24"/>
        </w:rPr>
        <w:t xml:space="preserve">di negeri Jiran tersebut yang sebagian besar kurang mendapat perhatian dari pemerintah dalam penyelesaian kasusnya. </w:t>
      </w:r>
      <w:r w:rsidR="00E51CBE">
        <w:rPr>
          <w:rFonts w:ascii="Times New Roman" w:hAnsi="Times New Roman" w:cs="Times New Roman"/>
          <w:sz w:val="24"/>
          <w:szCs w:val="24"/>
        </w:rPr>
        <w:t xml:space="preserve">Hal ini menunjukkan bahwa penanganan </w:t>
      </w:r>
      <w:r w:rsidR="00672DDB">
        <w:rPr>
          <w:rFonts w:ascii="Times New Roman" w:hAnsi="Times New Roman" w:cs="Times New Roman"/>
          <w:sz w:val="24"/>
          <w:szCs w:val="24"/>
          <w:lang w:val="en-US"/>
        </w:rPr>
        <w:t>masalah</w:t>
      </w:r>
      <w:r w:rsidR="00E51CBE">
        <w:rPr>
          <w:rFonts w:ascii="Times New Roman" w:hAnsi="Times New Roman" w:cs="Times New Roman"/>
          <w:sz w:val="24"/>
          <w:szCs w:val="24"/>
        </w:rPr>
        <w:t xml:space="preserve">TKI di luar negeri masih belum begitu diperhatikan oleh pemerintah karena selama ini </w:t>
      </w:r>
      <w:r w:rsidR="00122286">
        <w:rPr>
          <w:rFonts w:ascii="Times New Roman" w:hAnsi="Times New Roman" w:cs="Times New Roman"/>
          <w:sz w:val="24"/>
          <w:szCs w:val="24"/>
        </w:rPr>
        <w:t xml:space="preserve">kebanyakan </w:t>
      </w:r>
      <w:r w:rsidR="00E51CBE">
        <w:rPr>
          <w:rFonts w:ascii="Times New Roman" w:hAnsi="Times New Roman" w:cs="Times New Roman"/>
          <w:sz w:val="24"/>
          <w:szCs w:val="24"/>
        </w:rPr>
        <w:t>masalah TKI baru akan dipaparkan setelah adanya kasus yang menimpa mereka di negeri orang.</w:t>
      </w:r>
    </w:p>
    <w:p w:rsidR="000E450C" w:rsidRDefault="00122286" w:rsidP="000E45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w:t>
      </w:r>
      <w:r w:rsidR="00947F67">
        <w:rPr>
          <w:rFonts w:ascii="Times New Roman" w:hAnsi="Times New Roman" w:cs="Times New Roman"/>
          <w:sz w:val="24"/>
          <w:szCs w:val="24"/>
        </w:rPr>
        <w:t>anyak penyebab</w:t>
      </w:r>
      <w:r w:rsidR="008B3B66">
        <w:rPr>
          <w:rFonts w:ascii="Times New Roman" w:hAnsi="Times New Roman" w:cs="Times New Roman"/>
          <w:sz w:val="24"/>
          <w:szCs w:val="24"/>
        </w:rPr>
        <w:t xml:space="preserve"> yang mengakibatkan</w:t>
      </w:r>
      <w:r w:rsidR="00947F67">
        <w:rPr>
          <w:rFonts w:ascii="Times New Roman" w:hAnsi="Times New Roman" w:cs="Times New Roman"/>
          <w:sz w:val="24"/>
          <w:szCs w:val="24"/>
        </w:rPr>
        <w:t xml:space="preserve"> terjadinya kasus mengenai pelanggaran HAM terhadap TKI di luar negeri.</w:t>
      </w:r>
      <w:r w:rsidR="004807EF">
        <w:rPr>
          <w:rFonts w:ascii="Times New Roman" w:hAnsi="Times New Roman" w:cs="Times New Roman"/>
          <w:sz w:val="24"/>
          <w:szCs w:val="24"/>
        </w:rPr>
        <w:t xml:space="preserve"> Contohnya</w:t>
      </w:r>
      <w:r>
        <w:rPr>
          <w:rFonts w:ascii="Times New Roman" w:hAnsi="Times New Roman" w:cs="Times New Roman"/>
          <w:sz w:val="24"/>
          <w:szCs w:val="24"/>
        </w:rPr>
        <w:t xml:space="preserve"> saja</w:t>
      </w:r>
      <w:r w:rsidR="005E440B">
        <w:rPr>
          <w:rFonts w:ascii="Times New Roman" w:hAnsi="Times New Roman" w:cs="Times New Roman"/>
          <w:sz w:val="24"/>
          <w:szCs w:val="24"/>
        </w:rPr>
        <w:t xml:space="preserve">, </w:t>
      </w:r>
      <w:r w:rsidR="001C7EF1">
        <w:rPr>
          <w:rFonts w:ascii="Times New Roman" w:hAnsi="Times New Roman" w:cs="Times New Roman"/>
          <w:sz w:val="24"/>
          <w:szCs w:val="24"/>
        </w:rPr>
        <w:t xml:space="preserve">sebagian besar TKI di luar negeri merupakan pekerja domestik </w:t>
      </w:r>
      <w:r>
        <w:rPr>
          <w:rFonts w:ascii="Times New Roman" w:hAnsi="Times New Roman" w:cs="Times New Roman"/>
          <w:sz w:val="24"/>
          <w:szCs w:val="24"/>
        </w:rPr>
        <w:t xml:space="preserve">(PRT) </w:t>
      </w:r>
      <w:r w:rsidR="001C7EF1">
        <w:rPr>
          <w:rFonts w:ascii="Times New Roman" w:hAnsi="Times New Roman" w:cs="Times New Roman"/>
          <w:sz w:val="24"/>
          <w:szCs w:val="24"/>
        </w:rPr>
        <w:t xml:space="preserve">yang rentan terhadap perlakuan tidak manusiawi oleh majikannya. Apalagi </w:t>
      </w:r>
      <w:r w:rsidR="004807EF">
        <w:rPr>
          <w:rFonts w:ascii="Times New Roman" w:hAnsi="Times New Roman" w:cs="Times New Roman"/>
          <w:sz w:val="24"/>
          <w:szCs w:val="24"/>
        </w:rPr>
        <w:t xml:space="preserve">ditambah dengan banyaknya TKI </w:t>
      </w:r>
      <w:r w:rsidR="001C7EF1">
        <w:rPr>
          <w:rFonts w:ascii="Times New Roman" w:hAnsi="Times New Roman" w:cs="Times New Roman"/>
          <w:sz w:val="24"/>
          <w:szCs w:val="24"/>
        </w:rPr>
        <w:t xml:space="preserve"> ilegal</w:t>
      </w:r>
      <w:r w:rsidR="004807EF">
        <w:rPr>
          <w:rFonts w:ascii="Times New Roman" w:hAnsi="Times New Roman" w:cs="Times New Roman"/>
          <w:sz w:val="24"/>
          <w:szCs w:val="24"/>
        </w:rPr>
        <w:t xml:space="preserve"> yang</w:t>
      </w:r>
      <w:r w:rsidR="001C7EF1">
        <w:rPr>
          <w:rFonts w:ascii="Times New Roman" w:hAnsi="Times New Roman" w:cs="Times New Roman"/>
          <w:sz w:val="24"/>
          <w:szCs w:val="24"/>
        </w:rPr>
        <w:t xml:space="preserve"> membuat perlindungan hukum mereka jadi tidak bisa dijalankan.</w:t>
      </w:r>
      <w:r w:rsidR="000E450C" w:rsidRPr="000E450C">
        <w:rPr>
          <w:rFonts w:ascii="Times New Roman" w:hAnsi="Times New Roman" w:cs="Times New Roman"/>
          <w:sz w:val="24"/>
          <w:szCs w:val="24"/>
        </w:rPr>
        <w:t xml:space="preserve"> </w:t>
      </w:r>
      <w:r w:rsidR="000E450C">
        <w:rPr>
          <w:rFonts w:ascii="Times New Roman" w:hAnsi="Times New Roman" w:cs="Times New Roman"/>
          <w:sz w:val="24"/>
          <w:szCs w:val="24"/>
        </w:rPr>
        <w:t>Demikian pula lemahnya perlindungan Indonesia terhadap TKI, justru dapat menambah persoalan baru baik di bidang sosial maupun politik karena menyangkut hubungan antarnegara.</w:t>
      </w:r>
      <w:r w:rsidR="000E450C">
        <w:rPr>
          <w:rStyle w:val="FootnoteReference"/>
          <w:rFonts w:ascii="Times New Roman" w:hAnsi="Times New Roman" w:cs="Times New Roman"/>
          <w:sz w:val="24"/>
          <w:szCs w:val="24"/>
        </w:rPr>
        <w:footnoteReference w:id="3"/>
      </w:r>
      <w:r w:rsidR="001C7EF1">
        <w:rPr>
          <w:rFonts w:ascii="Times New Roman" w:hAnsi="Times New Roman" w:cs="Times New Roman"/>
          <w:sz w:val="24"/>
          <w:szCs w:val="24"/>
        </w:rPr>
        <w:t xml:space="preserve"> </w:t>
      </w:r>
    </w:p>
    <w:p w:rsidR="00751565" w:rsidRDefault="009D3CA9" w:rsidP="00CC751A">
      <w:pPr>
        <w:spacing w:line="360" w:lineRule="auto"/>
        <w:ind w:firstLine="720"/>
        <w:jc w:val="both"/>
        <w:rPr>
          <w:rFonts w:ascii="Times New Roman" w:hAnsi="Times New Roman" w:cs="Times New Roman"/>
          <w:sz w:val="24"/>
          <w:szCs w:val="24"/>
        </w:rPr>
      </w:pPr>
      <w:r w:rsidRPr="009D3CA9">
        <w:rPr>
          <w:rFonts w:ascii="Times New Roman" w:hAnsi="Times New Roman" w:cs="Times New Roman"/>
          <w:sz w:val="24"/>
          <w:szCs w:val="24"/>
        </w:rPr>
        <w:t>Selain masalah perlindungan hukum,  ada lagi masalah yang amat mendasar, yaitu soal kontrak. Pemerintah harus terlibat dalam kontrak mereka, biar TKI kita terlindungi bi</w:t>
      </w:r>
      <w:r>
        <w:rPr>
          <w:rFonts w:ascii="Times New Roman" w:hAnsi="Times New Roman" w:cs="Times New Roman"/>
          <w:sz w:val="24"/>
          <w:szCs w:val="24"/>
        </w:rPr>
        <w:t>la terjadi sesuatu dengan mereka.</w:t>
      </w:r>
      <w:r>
        <w:rPr>
          <w:rStyle w:val="FootnoteReference"/>
          <w:rFonts w:ascii="Times New Roman" w:hAnsi="Times New Roman" w:cs="Times New Roman"/>
          <w:sz w:val="24"/>
          <w:szCs w:val="24"/>
        </w:rPr>
        <w:footnoteReference w:id="4"/>
      </w:r>
      <w:r w:rsidR="00CC751A">
        <w:rPr>
          <w:rFonts w:ascii="Times New Roman" w:hAnsi="Times New Roman" w:cs="Times New Roman"/>
          <w:sz w:val="24"/>
          <w:szCs w:val="24"/>
        </w:rPr>
        <w:t xml:space="preserve"> </w:t>
      </w:r>
      <w:r>
        <w:rPr>
          <w:rFonts w:ascii="Times New Roman" w:hAnsi="Times New Roman" w:cs="Times New Roman"/>
          <w:sz w:val="24"/>
          <w:szCs w:val="24"/>
        </w:rPr>
        <w:t>Kemudian hal mengenai t</w:t>
      </w:r>
      <w:r w:rsidR="00B74EC0">
        <w:rPr>
          <w:rFonts w:ascii="Times New Roman" w:hAnsi="Times New Roman" w:cs="Times New Roman"/>
          <w:sz w:val="24"/>
          <w:szCs w:val="24"/>
        </w:rPr>
        <w:t xml:space="preserve">erbatasnya </w:t>
      </w:r>
      <w:r w:rsidR="006E50DF" w:rsidRPr="00DA559A">
        <w:rPr>
          <w:rFonts w:ascii="Times New Roman" w:hAnsi="Times New Roman" w:cs="Times New Roman"/>
          <w:i/>
          <w:sz w:val="24"/>
          <w:szCs w:val="24"/>
        </w:rPr>
        <w:t>skill</w:t>
      </w:r>
      <w:r w:rsidR="006E50DF">
        <w:rPr>
          <w:rFonts w:ascii="Times New Roman" w:hAnsi="Times New Roman" w:cs="Times New Roman"/>
          <w:sz w:val="24"/>
          <w:szCs w:val="24"/>
        </w:rPr>
        <w:t xml:space="preserve"> dan intelektual para TKI juga </w:t>
      </w:r>
      <w:r w:rsidR="00B74EC0">
        <w:rPr>
          <w:rFonts w:ascii="Times New Roman" w:hAnsi="Times New Roman" w:cs="Times New Roman"/>
          <w:sz w:val="24"/>
          <w:szCs w:val="24"/>
        </w:rPr>
        <w:t xml:space="preserve">menjadi penyebab mengapa sering terjadi kasus semacam penganiayaan atau kekerasan </w:t>
      </w:r>
      <w:r w:rsidR="006E50DF">
        <w:rPr>
          <w:rFonts w:ascii="Times New Roman" w:hAnsi="Times New Roman" w:cs="Times New Roman"/>
          <w:sz w:val="24"/>
          <w:szCs w:val="24"/>
        </w:rPr>
        <w:t xml:space="preserve">pada para TKI. </w:t>
      </w:r>
    </w:p>
    <w:p w:rsidR="004807EF" w:rsidRDefault="0072478B" w:rsidP="008B3B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Lalu, </w:t>
      </w:r>
      <w:r w:rsidR="008B3B66">
        <w:rPr>
          <w:rFonts w:ascii="Times New Roman" w:hAnsi="Times New Roman" w:cs="Times New Roman"/>
          <w:sz w:val="24"/>
          <w:szCs w:val="24"/>
        </w:rPr>
        <w:t>sebenarnya</w:t>
      </w:r>
      <w:r>
        <w:rPr>
          <w:rFonts w:ascii="Times New Roman" w:hAnsi="Times New Roman" w:cs="Times New Roman"/>
          <w:sz w:val="24"/>
          <w:szCs w:val="24"/>
        </w:rPr>
        <w:t xml:space="preserve"> sudah</w:t>
      </w:r>
      <w:r w:rsidR="008B3B66">
        <w:rPr>
          <w:rFonts w:ascii="Times New Roman" w:hAnsi="Times New Roman" w:cs="Times New Roman"/>
          <w:sz w:val="24"/>
          <w:szCs w:val="24"/>
        </w:rPr>
        <w:t>kah</w:t>
      </w:r>
      <w:r>
        <w:rPr>
          <w:rFonts w:ascii="Times New Roman" w:hAnsi="Times New Roman" w:cs="Times New Roman"/>
          <w:sz w:val="24"/>
          <w:szCs w:val="24"/>
        </w:rPr>
        <w:t xml:space="preserve"> dilakukan perlindungan hak TKI oleh pemerintah beserta lembaga penyalur yang bersangkutan? </w:t>
      </w:r>
    </w:p>
    <w:p w:rsidR="004807EF" w:rsidRDefault="005D779D" w:rsidP="00CC75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Perlindungan TKI sebenarnya sudah diatur dalam UU No. 39 Tahun 2004 tentang Penempatan dan Perlindungan TKI di luar negeri. Dibandingkan dengan peraturan sebelumnya </w:t>
      </w:r>
      <w:r w:rsidR="00851017">
        <w:rPr>
          <w:rFonts w:ascii="Times New Roman" w:hAnsi="Times New Roman" w:cs="Times New Roman"/>
          <w:sz w:val="24"/>
          <w:szCs w:val="24"/>
        </w:rPr>
        <w:t>yang hanya berupa peraturan menteri (TAP MPR No. III Tahun 2000), peraturan TKI yang sekarang diatur dalam UU</w:t>
      </w:r>
      <w:r w:rsidR="002206A9">
        <w:rPr>
          <w:rFonts w:ascii="Times New Roman" w:hAnsi="Times New Roman" w:cs="Times New Roman"/>
          <w:sz w:val="24"/>
          <w:szCs w:val="24"/>
        </w:rPr>
        <w:t xml:space="preserve"> </w:t>
      </w:r>
      <w:r w:rsidR="00851017">
        <w:rPr>
          <w:rFonts w:ascii="Times New Roman" w:hAnsi="Times New Roman" w:cs="Times New Roman"/>
          <w:sz w:val="24"/>
          <w:szCs w:val="24"/>
        </w:rPr>
        <w:t>tersebut sudah memiliki peningkatan dari segi kekuatan hukum.</w:t>
      </w:r>
      <w:r w:rsidR="00B91EF9">
        <w:rPr>
          <w:rStyle w:val="FootnoteReference"/>
          <w:rFonts w:ascii="Times New Roman" w:hAnsi="Times New Roman" w:cs="Times New Roman"/>
          <w:sz w:val="24"/>
          <w:szCs w:val="24"/>
        </w:rPr>
        <w:footnoteReference w:id="5"/>
      </w:r>
      <w:r w:rsidR="00851017">
        <w:rPr>
          <w:rFonts w:ascii="Times New Roman" w:hAnsi="Times New Roman" w:cs="Times New Roman"/>
          <w:sz w:val="24"/>
          <w:szCs w:val="24"/>
        </w:rPr>
        <w:t xml:space="preserve"> Maka dalam implementasinya</w:t>
      </w:r>
      <w:r w:rsidR="00A273C7">
        <w:rPr>
          <w:rFonts w:ascii="Times New Roman" w:hAnsi="Times New Roman" w:cs="Times New Roman"/>
          <w:sz w:val="24"/>
          <w:szCs w:val="24"/>
        </w:rPr>
        <w:t>,</w:t>
      </w:r>
      <w:r w:rsidR="00851017">
        <w:rPr>
          <w:rFonts w:ascii="Times New Roman" w:hAnsi="Times New Roman" w:cs="Times New Roman"/>
          <w:sz w:val="24"/>
          <w:szCs w:val="24"/>
        </w:rPr>
        <w:t xml:space="preserve"> seharusnya UU ini dapat lebih membantu mengatasi permasalahan tentang perlindungan hak-hak TKI dari penempatan hingga kembali lagi ke Indonesia.</w:t>
      </w:r>
    </w:p>
    <w:p w:rsidR="00E157B8" w:rsidRDefault="003A03A8" w:rsidP="00E157B8">
      <w:pPr>
        <w:spacing w:line="360" w:lineRule="auto"/>
        <w:jc w:val="both"/>
        <w:rPr>
          <w:rFonts w:ascii="Times New Roman" w:hAnsi="Times New Roman" w:cs="Times New Roman"/>
          <w:sz w:val="24"/>
          <w:szCs w:val="24"/>
        </w:rPr>
      </w:pPr>
      <w:r>
        <w:rPr>
          <w:rFonts w:ascii="Times New Roman" w:hAnsi="Times New Roman" w:cs="Times New Roman"/>
          <w:sz w:val="24"/>
          <w:szCs w:val="24"/>
        </w:rPr>
        <w:t>Be</w:t>
      </w:r>
      <w:r w:rsidR="00A273C7">
        <w:rPr>
          <w:rFonts w:ascii="Times New Roman" w:hAnsi="Times New Roman" w:cs="Times New Roman"/>
          <w:sz w:val="24"/>
          <w:szCs w:val="24"/>
        </w:rPr>
        <w:t xml:space="preserve">rdasarkan UU No. 39 Tahun 2004 tersebut, perlindungan terhadap TKI yang bekerja ke luar negeri meliputi perlindungan TKI pra penempatan, selama penempatan, dan purna penempatan. </w:t>
      </w:r>
    </w:p>
    <w:p w:rsidR="003A03A8" w:rsidRDefault="003A03A8" w:rsidP="00E157B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bagian perlindungan TKI pra penempatan, salah satunya dijelaskan mengenai pemberian informasi kepada calon TKI</w:t>
      </w:r>
      <w:r w:rsidR="00CB718F">
        <w:rPr>
          <w:rFonts w:ascii="Times New Roman" w:hAnsi="Times New Roman" w:cs="Times New Roman"/>
          <w:sz w:val="24"/>
          <w:szCs w:val="24"/>
        </w:rPr>
        <w:t xml:space="preserve"> yang dilakukan oleh PPTKIS</w:t>
      </w:r>
      <w:r>
        <w:rPr>
          <w:rFonts w:ascii="Times New Roman" w:hAnsi="Times New Roman" w:cs="Times New Roman"/>
          <w:sz w:val="24"/>
          <w:szCs w:val="24"/>
        </w:rPr>
        <w:t>. Informasi tersebut meliputi</w:t>
      </w:r>
      <w:r w:rsidR="00287421">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3A03A8" w:rsidRDefault="003A03A8" w:rsidP="003A03A8">
      <w:pPr>
        <w:pStyle w:val="ListParagraph"/>
        <w:numPr>
          <w:ilvl w:val="0"/>
          <w:numId w:val="6"/>
        </w:numPr>
        <w:spacing w:line="360" w:lineRule="auto"/>
        <w:ind w:left="851" w:hanging="425"/>
        <w:jc w:val="both"/>
        <w:rPr>
          <w:rFonts w:ascii="Times New Roman" w:hAnsi="Times New Roman" w:cs="Times New Roman"/>
          <w:sz w:val="24"/>
          <w:szCs w:val="24"/>
        </w:rPr>
      </w:pPr>
      <w:r w:rsidRPr="003A03A8">
        <w:rPr>
          <w:rFonts w:ascii="Times New Roman" w:hAnsi="Times New Roman" w:cs="Times New Roman"/>
          <w:sz w:val="24"/>
          <w:szCs w:val="24"/>
        </w:rPr>
        <w:t xml:space="preserve">tata cara perekrutan, </w:t>
      </w:r>
    </w:p>
    <w:p w:rsidR="003A03A8" w:rsidRDefault="003A03A8" w:rsidP="003A03A8">
      <w:pPr>
        <w:pStyle w:val="ListParagraph"/>
        <w:numPr>
          <w:ilvl w:val="0"/>
          <w:numId w:val="6"/>
        </w:numPr>
        <w:spacing w:line="360" w:lineRule="auto"/>
        <w:ind w:left="851" w:hanging="425"/>
        <w:jc w:val="both"/>
        <w:rPr>
          <w:rFonts w:ascii="Times New Roman" w:hAnsi="Times New Roman" w:cs="Times New Roman"/>
          <w:sz w:val="24"/>
          <w:szCs w:val="24"/>
        </w:rPr>
      </w:pPr>
      <w:r w:rsidRPr="003A03A8">
        <w:rPr>
          <w:rFonts w:ascii="Times New Roman" w:hAnsi="Times New Roman" w:cs="Times New Roman"/>
          <w:sz w:val="24"/>
          <w:szCs w:val="24"/>
        </w:rPr>
        <w:t xml:space="preserve">dokumen yang diperlukan, </w:t>
      </w:r>
    </w:p>
    <w:p w:rsidR="003A03A8" w:rsidRDefault="003A03A8" w:rsidP="003A03A8">
      <w:pPr>
        <w:pStyle w:val="ListParagraph"/>
        <w:numPr>
          <w:ilvl w:val="0"/>
          <w:numId w:val="6"/>
        </w:numPr>
        <w:spacing w:line="360" w:lineRule="auto"/>
        <w:ind w:left="851" w:hanging="425"/>
        <w:jc w:val="both"/>
        <w:rPr>
          <w:rFonts w:ascii="Times New Roman" w:hAnsi="Times New Roman" w:cs="Times New Roman"/>
          <w:sz w:val="24"/>
          <w:szCs w:val="24"/>
        </w:rPr>
      </w:pPr>
      <w:r w:rsidRPr="003A03A8">
        <w:rPr>
          <w:rFonts w:ascii="Times New Roman" w:hAnsi="Times New Roman" w:cs="Times New Roman"/>
          <w:sz w:val="24"/>
          <w:szCs w:val="24"/>
        </w:rPr>
        <w:t xml:space="preserve">hak dan kewajiban TKI, </w:t>
      </w:r>
    </w:p>
    <w:p w:rsidR="00A273C7" w:rsidRDefault="003A03A8" w:rsidP="003A03A8">
      <w:pPr>
        <w:pStyle w:val="ListParagraph"/>
        <w:numPr>
          <w:ilvl w:val="0"/>
          <w:numId w:val="6"/>
        </w:numPr>
        <w:spacing w:line="360" w:lineRule="auto"/>
        <w:ind w:left="851" w:hanging="425"/>
        <w:jc w:val="both"/>
        <w:rPr>
          <w:rFonts w:ascii="Times New Roman" w:hAnsi="Times New Roman" w:cs="Times New Roman"/>
          <w:sz w:val="24"/>
          <w:szCs w:val="24"/>
        </w:rPr>
      </w:pPr>
      <w:r w:rsidRPr="003A03A8">
        <w:rPr>
          <w:rFonts w:ascii="Times New Roman" w:hAnsi="Times New Roman" w:cs="Times New Roman"/>
          <w:sz w:val="24"/>
          <w:szCs w:val="24"/>
        </w:rPr>
        <w:t>situasi,</w:t>
      </w:r>
      <w:r w:rsidR="00B26430">
        <w:rPr>
          <w:rFonts w:ascii="Times New Roman" w:hAnsi="Times New Roman" w:cs="Times New Roman"/>
          <w:sz w:val="24"/>
          <w:szCs w:val="24"/>
        </w:rPr>
        <w:t xml:space="preserve"> </w:t>
      </w:r>
      <w:r w:rsidRPr="003A03A8">
        <w:rPr>
          <w:rFonts w:ascii="Times New Roman" w:hAnsi="Times New Roman" w:cs="Times New Roman"/>
          <w:sz w:val="24"/>
          <w:szCs w:val="24"/>
        </w:rPr>
        <w:t>kondisi, dan risiko di nega</w:t>
      </w:r>
      <w:r w:rsidR="00E157B8">
        <w:rPr>
          <w:rFonts w:ascii="Times New Roman" w:hAnsi="Times New Roman" w:cs="Times New Roman"/>
          <w:sz w:val="24"/>
          <w:szCs w:val="24"/>
        </w:rPr>
        <w:t>ra tujuan, dan</w:t>
      </w:r>
    </w:p>
    <w:p w:rsidR="00E157B8" w:rsidRDefault="00E157B8" w:rsidP="003A03A8">
      <w:pPr>
        <w:pStyle w:val="ListParagraph"/>
        <w:numPr>
          <w:ilvl w:val="0"/>
          <w:numId w:val="6"/>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tata cara perlindungan bagi TKI</w:t>
      </w:r>
    </w:p>
    <w:p w:rsidR="00851017" w:rsidRDefault="00E157B8" w:rsidP="00E157B8">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peraturan di atas terlihat</w:t>
      </w:r>
      <w:r w:rsidR="00CB718F">
        <w:rPr>
          <w:rFonts w:ascii="Times New Roman" w:hAnsi="Times New Roman" w:cs="Times New Roman"/>
          <w:sz w:val="24"/>
          <w:szCs w:val="24"/>
        </w:rPr>
        <w:t xml:space="preserve"> bahwa sudah diber</w:t>
      </w:r>
      <w:r>
        <w:rPr>
          <w:rFonts w:ascii="Times New Roman" w:hAnsi="Times New Roman" w:cs="Times New Roman"/>
          <w:sz w:val="24"/>
          <w:szCs w:val="24"/>
        </w:rPr>
        <w:t>lakukan salah satu bentuk perlindungan terhadap TKI</w:t>
      </w:r>
      <w:r w:rsidR="00CB718F">
        <w:rPr>
          <w:rFonts w:ascii="Times New Roman" w:hAnsi="Times New Roman" w:cs="Times New Roman"/>
          <w:sz w:val="24"/>
          <w:szCs w:val="24"/>
        </w:rPr>
        <w:t xml:space="preserve"> oleh pihak pelaksana penempatan TKI swasta (PPTKIS)</w:t>
      </w:r>
      <w:r>
        <w:rPr>
          <w:rFonts w:ascii="Times New Roman" w:hAnsi="Times New Roman" w:cs="Times New Roman"/>
          <w:sz w:val="24"/>
          <w:szCs w:val="24"/>
        </w:rPr>
        <w:t>. Saat pra penempatan, peraturan di atas memberikan suatu informasi agar para TKI paham terlebih dahulu mengenai prosedur yang harus mereka jalankan</w:t>
      </w:r>
      <w:r w:rsidR="00607828">
        <w:rPr>
          <w:rFonts w:ascii="Times New Roman" w:hAnsi="Times New Roman" w:cs="Times New Roman"/>
          <w:sz w:val="24"/>
          <w:szCs w:val="24"/>
        </w:rPr>
        <w:t>,</w:t>
      </w:r>
      <w:r>
        <w:rPr>
          <w:rFonts w:ascii="Times New Roman" w:hAnsi="Times New Roman" w:cs="Times New Roman"/>
          <w:sz w:val="24"/>
          <w:szCs w:val="24"/>
        </w:rPr>
        <w:t xml:space="preserve"> sebelum mereka diberangkatkan ke negara tujuan. Namun, terkadang banyak calon TKI yang menghindari rumitnya birokrasi yang ada sehingga peraturan-peraturan ini sering kali terlewatkan. </w:t>
      </w:r>
      <w:r w:rsidR="00607828">
        <w:rPr>
          <w:rFonts w:ascii="Times New Roman" w:hAnsi="Times New Roman" w:cs="Times New Roman"/>
          <w:sz w:val="24"/>
          <w:szCs w:val="24"/>
        </w:rPr>
        <w:t>Selain dari sisi TKI, penyeleksian cal</w:t>
      </w:r>
      <w:r w:rsidR="00CB718F">
        <w:rPr>
          <w:rFonts w:ascii="Times New Roman" w:hAnsi="Times New Roman" w:cs="Times New Roman"/>
          <w:sz w:val="24"/>
          <w:szCs w:val="24"/>
        </w:rPr>
        <w:t>on TKI yang lebih ketat pun diperlukan guna</w:t>
      </w:r>
      <w:r w:rsidR="00607828">
        <w:rPr>
          <w:rFonts w:ascii="Times New Roman" w:hAnsi="Times New Roman" w:cs="Times New Roman"/>
          <w:sz w:val="24"/>
          <w:szCs w:val="24"/>
        </w:rPr>
        <w:t xml:space="preserve"> menghindari hal-hal berupa kasus pelanggaran akan hak-hak mereka. Misalnya, seorang TKI pekerja domestik benar-benar dipastikan bahwa mereka bisa menggunakan bahasa negara tujuan dengan baik. Setidaknya mereka paham dan bisa berkomunikasi dengan baik dengan majikan mereka sehingga tidak terjadi </w:t>
      </w:r>
      <w:r w:rsidR="00607828" w:rsidRPr="000967A4">
        <w:rPr>
          <w:rFonts w:ascii="Times New Roman" w:hAnsi="Times New Roman" w:cs="Times New Roman"/>
          <w:i/>
          <w:sz w:val="24"/>
          <w:szCs w:val="24"/>
        </w:rPr>
        <w:t>misscommunication</w:t>
      </w:r>
      <w:r w:rsidR="00607828">
        <w:rPr>
          <w:rFonts w:ascii="Times New Roman" w:hAnsi="Times New Roman" w:cs="Times New Roman"/>
          <w:sz w:val="24"/>
          <w:szCs w:val="24"/>
        </w:rPr>
        <w:t xml:space="preserve"> antara TKI dan majikan yang menyebabkan terjadinya perlakuan majikan yang semena-mena.</w:t>
      </w:r>
      <w:r w:rsidR="00CB718F">
        <w:rPr>
          <w:rFonts w:ascii="Times New Roman" w:hAnsi="Times New Roman" w:cs="Times New Roman"/>
          <w:sz w:val="24"/>
          <w:szCs w:val="24"/>
        </w:rPr>
        <w:t xml:space="preserve"> </w:t>
      </w:r>
    </w:p>
    <w:p w:rsidR="009D3CA9" w:rsidRDefault="00A54E18" w:rsidP="00FE5ED4">
      <w:pPr>
        <w:spacing w:line="360" w:lineRule="auto"/>
        <w:ind w:firstLine="720"/>
        <w:jc w:val="both"/>
        <w:rPr>
          <w:rFonts w:ascii="Times New Roman" w:hAnsi="Times New Roman" w:cs="Times New Roman"/>
          <w:sz w:val="24"/>
          <w:szCs w:val="24"/>
        </w:rPr>
      </w:pPr>
      <w:r w:rsidRPr="00A54E18">
        <w:rPr>
          <w:rFonts w:ascii="Times New Roman" w:hAnsi="Times New Roman" w:cs="Times New Roman"/>
          <w:sz w:val="24"/>
          <w:szCs w:val="24"/>
        </w:rPr>
        <w:lastRenderedPageBreak/>
        <w:t>Menurut data Imigrasi Malaysia ada dua juta TKI di Malaysia yang terdiri atas 1,2 juta TKI legal dan</w:t>
      </w:r>
      <w:r w:rsidR="009D3CA9">
        <w:rPr>
          <w:rFonts w:ascii="Times New Roman" w:hAnsi="Times New Roman" w:cs="Times New Roman"/>
          <w:sz w:val="24"/>
          <w:szCs w:val="24"/>
        </w:rPr>
        <w:t xml:space="preserve"> 800.000 ilegal telah bermukim d</w:t>
      </w:r>
      <w:r w:rsidRPr="00A54E18">
        <w:rPr>
          <w:rFonts w:ascii="Times New Roman" w:hAnsi="Times New Roman" w:cs="Times New Roman"/>
          <w:sz w:val="24"/>
          <w:szCs w:val="24"/>
        </w:rPr>
        <w:t>i Malaysia sampai dengan tahun 2007-2008.</w:t>
      </w:r>
      <w:r>
        <w:rPr>
          <w:rStyle w:val="FootnoteReference"/>
          <w:rFonts w:ascii="Times New Roman" w:hAnsi="Times New Roman" w:cs="Times New Roman"/>
          <w:sz w:val="24"/>
          <w:szCs w:val="24"/>
        </w:rPr>
        <w:footnoteReference w:id="7"/>
      </w:r>
      <w:r w:rsidR="009D3CA9">
        <w:rPr>
          <w:rFonts w:ascii="Times New Roman" w:hAnsi="Times New Roman" w:cs="Times New Roman"/>
          <w:sz w:val="24"/>
          <w:szCs w:val="24"/>
        </w:rPr>
        <w:t xml:space="preserve"> </w:t>
      </w:r>
      <w:r w:rsidR="00FE5ED4">
        <w:rPr>
          <w:rFonts w:ascii="Times New Roman" w:hAnsi="Times New Roman" w:cs="Times New Roman"/>
          <w:sz w:val="24"/>
          <w:szCs w:val="24"/>
        </w:rPr>
        <w:t xml:space="preserve">Berdasarkan data tersebut, jumlah TKI legal dan ilegal hampir sama besarnya. Hal ini menunjukkan bahwa kurang ketatnya pengawasan terhadap oknum-oknum yang bisa meloloskan TKI ilegal ke luar negeri. Kemudian ditambah lagi masalah proporsi TKI pekerjaan domestik yang lebih mendominasi dibanding TKI pada sektor formal. </w:t>
      </w:r>
    </w:p>
    <w:p w:rsidR="00433557" w:rsidRDefault="00433557" w:rsidP="00433557">
      <w:pPr>
        <w:spacing w:line="360" w:lineRule="auto"/>
        <w:jc w:val="both"/>
        <w:rPr>
          <w:rFonts w:ascii="Times New Roman" w:hAnsi="Times New Roman" w:cs="Times New Roman"/>
          <w:sz w:val="24"/>
          <w:szCs w:val="24"/>
        </w:rPr>
      </w:pPr>
      <w:r>
        <w:rPr>
          <w:rFonts w:ascii="Times New Roman" w:hAnsi="Times New Roman" w:cs="Times New Roman"/>
          <w:sz w:val="24"/>
          <w:szCs w:val="24"/>
        </w:rPr>
        <w:t>Lalu, apa yang sebaiknya dilakukan untuk mengatasi masalah TKI dari segi perlindungan hak mereka?</w:t>
      </w:r>
    </w:p>
    <w:p w:rsidR="00433557" w:rsidRDefault="00433557" w:rsidP="004335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Maraknya kasus TKI disebabkan oleh TKI yang jumlahnya semakin meningkat dari tahun ke tahun akibat lapangan pekerjaan di Indonesia yang kurang memadai. Maka dari sini yang p</w:t>
      </w:r>
      <w:r w:rsidR="000E450C">
        <w:rPr>
          <w:rFonts w:ascii="Times New Roman" w:hAnsi="Times New Roman" w:cs="Times New Roman"/>
          <w:sz w:val="24"/>
          <w:szCs w:val="24"/>
        </w:rPr>
        <w:t>erlu dilakukan adalah dengan menambah</w:t>
      </w:r>
      <w:r>
        <w:rPr>
          <w:rFonts w:ascii="Times New Roman" w:hAnsi="Times New Roman" w:cs="Times New Roman"/>
          <w:sz w:val="24"/>
          <w:szCs w:val="24"/>
        </w:rPr>
        <w:t xml:space="preserve"> lapangan pekerjaan di dalam negeri atau mungkin dengan memberdayakan masyarakat untuk menciptakan lapangan pekerjaan sendiri. </w:t>
      </w:r>
      <w:r w:rsidR="0043449B">
        <w:rPr>
          <w:rFonts w:ascii="Times New Roman" w:hAnsi="Times New Roman" w:cs="Times New Roman"/>
          <w:sz w:val="24"/>
          <w:szCs w:val="24"/>
        </w:rPr>
        <w:t>Kemudian, s</w:t>
      </w:r>
      <w:r w:rsidR="00DB62FE">
        <w:rPr>
          <w:rFonts w:ascii="Times New Roman" w:hAnsi="Times New Roman" w:cs="Times New Roman"/>
          <w:sz w:val="24"/>
          <w:szCs w:val="24"/>
        </w:rPr>
        <w:t xml:space="preserve">elama ini banyak permasalahan TKI </w:t>
      </w:r>
      <w:r w:rsidR="000E450C">
        <w:rPr>
          <w:rFonts w:ascii="Times New Roman" w:hAnsi="Times New Roman" w:cs="Times New Roman"/>
          <w:sz w:val="24"/>
          <w:szCs w:val="24"/>
        </w:rPr>
        <w:t xml:space="preserve">yang </w:t>
      </w:r>
      <w:r w:rsidR="00DB62FE">
        <w:rPr>
          <w:rFonts w:ascii="Times New Roman" w:hAnsi="Times New Roman" w:cs="Times New Roman"/>
          <w:sz w:val="24"/>
          <w:szCs w:val="24"/>
        </w:rPr>
        <w:t xml:space="preserve">terjadi pada TKI informal. Untuk itu, sebaiknya pemerintah membatasi TKI informal ini, dan lebih mengedepankan TKI formal. </w:t>
      </w:r>
      <w:r w:rsidR="001D01EC">
        <w:rPr>
          <w:rFonts w:ascii="Times New Roman" w:hAnsi="Times New Roman" w:cs="Times New Roman"/>
          <w:sz w:val="24"/>
          <w:szCs w:val="24"/>
        </w:rPr>
        <w:t>Sedangkan untuk penanggulangan masalah perlindungan HAM sendiri diperlukan pembekalan dan pembinaan keahlian serta intelektual bagi TKI, supaya mereka itu bisa bekerja dengan baik sesuai dengan bidangnya dan mengerti sepenuhnya tentang hak-hak yang mereka miliki. Maka diperlukan adanya perlindungan hukum yang tegas oleh pemerintah misalnya dengan adanya biro konsultasi hukum di negara penempatan yang berfungsi sebagai tempat TKI yang bermasalah</w:t>
      </w:r>
      <w:r w:rsidR="00C83327">
        <w:rPr>
          <w:rFonts w:ascii="Times New Roman" w:hAnsi="Times New Roman" w:cs="Times New Roman"/>
          <w:sz w:val="24"/>
          <w:szCs w:val="24"/>
        </w:rPr>
        <w:t xml:space="preserve"> agar</w:t>
      </w:r>
      <w:r w:rsidR="001D01EC">
        <w:rPr>
          <w:rFonts w:ascii="Times New Roman" w:hAnsi="Times New Roman" w:cs="Times New Roman"/>
          <w:sz w:val="24"/>
          <w:szCs w:val="24"/>
        </w:rPr>
        <w:t xml:space="preserve"> bisa mengadukan masalahnya.</w:t>
      </w:r>
    </w:p>
    <w:p w:rsidR="009A1E52" w:rsidRDefault="00C83327" w:rsidP="004335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jangan selalu menganggap bahwa semua yang menyangkut TKI adalah negatif. Hal ini terbukti dengan adanya beberapa TKI yang menuai kisah suksesnya karena pendapatan yang diterimanya bisa mereka jadikan untuk membangun usaha di dalam negeri</w:t>
      </w:r>
      <w:r w:rsidR="009A1E52">
        <w:rPr>
          <w:rFonts w:ascii="Times New Roman" w:hAnsi="Times New Roman" w:cs="Times New Roman"/>
          <w:sz w:val="24"/>
          <w:szCs w:val="24"/>
        </w:rPr>
        <w:t xml:space="preserve"> atau bahkan mereka gunakan pendapatannya untuk menuntut ilmu lebih tinggi lagi</w:t>
      </w:r>
      <w:r>
        <w:rPr>
          <w:rFonts w:ascii="Times New Roman" w:hAnsi="Times New Roman" w:cs="Times New Roman"/>
          <w:sz w:val="24"/>
          <w:szCs w:val="24"/>
        </w:rPr>
        <w:t xml:space="preserve">. Salah </w:t>
      </w:r>
      <w:r w:rsidR="009A1E52">
        <w:rPr>
          <w:rFonts w:ascii="Times New Roman" w:hAnsi="Times New Roman" w:cs="Times New Roman"/>
          <w:sz w:val="24"/>
          <w:szCs w:val="24"/>
        </w:rPr>
        <w:t>satu contoh</w:t>
      </w:r>
      <w:r>
        <w:rPr>
          <w:rFonts w:ascii="Times New Roman" w:hAnsi="Times New Roman" w:cs="Times New Roman"/>
          <w:sz w:val="24"/>
          <w:szCs w:val="24"/>
        </w:rPr>
        <w:t xml:space="preserve"> mantan TKI yang sukses adalah Ruyati, yang kini menjadi seorang dosen.</w:t>
      </w:r>
      <w:r>
        <w:rPr>
          <w:rStyle w:val="FootnoteReference"/>
          <w:rFonts w:ascii="Times New Roman" w:hAnsi="Times New Roman" w:cs="Times New Roman"/>
          <w:sz w:val="24"/>
          <w:szCs w:val="24"/>
        </w:rPr>
        <w:footnoteReference w:id="8"/>
      </w:r>
      <w:r w:rsidR="00B36ACB">
        <w:rPr>
          <w:rFonts w:ascii="Times New Roman" w:hAnsi="Times New Roman" w:cs="Times New Roman"/>
          <w:sz w:val="24"/>
          <w:szCs w:val="24"/>
        </w:rPr>
        <w:t xml:space="preserve"> </w:t>
      </w:r>
    </w:p>
    <w:p w:rsidR="00C83327" w:rsidRDefault="00B36ACB" w:rsidP="004335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perlindungan hak TKI ini memang begitu penting karena mereka sudah banyak berkontsibusi untuk negara kita ini. Hal yang menjadi permasalahan bukan semata-mata karena pemerintah, tetapi </w:t>
      </w:r>
      <w:r w:rsidR="009A1E52">
        <w:rPr>
          <w:rFonts w:ascii="Times New Roman" w:hAnsi="Times New Roman" w:cs="Times New Roman"/>
          <w:sz w:val="24"/>
          <w:szCs w:val="24"/>
        </w:rPr>
        <w:t xml:space="preserve">dari segi calon TKI itu sendiri yang harus benar-benar </w:t>
      </w:r>
      <w:r w:rsidR="009A1E52">
        <w:rPr>
          <w:rFonts w:ascii="Times New Roman" w:hAnsi="Times New Roman" w:cs="Times New Roman"/>
          <w:sz w:val="24"/>
          <w:szCs w:val="24"/>
        </w:rPr>
        <w:lastRenderedPageBreak/>
        <w:t>paham akan pekerjaannya menjadi TKI, paham akan kontrak kerja mereka, serta benar-benar siap untuk membawa nama baik Indonesia dengan menjadi pekerja di negeri orang. Oleh karena itu, memang yang terpenting bagaimana sosialisasi TKI itu dilakukan oleh pemerintah dan pengawasan terhadap hak-hak mereka yang harus selalu dipantau secara berkelanjutan.</w:t>
      </w:r>
    </w:p>
    <w:p w:rsidR="00433557" w:rsidRDefault="00433557" w:rsidP="00FE5ED4">
      <w:pPr>
        <w:spacing w:line="360" w:lineRule="auto"/>
        <w:ind w:firstLine="720"/>
        <w:jc w:val="both"/>
        <w:rPr>
          <w:rFonts w:ascii="Times New Roman" w:hAnsi="Times New Roman" w:cs="Times New Roman"/>
          <w:sz w:val="24"/>
          <w:szCs w:val="24"/>
        </w:rPr>
      </w:pPr>
    </w:p>
    <w:p w:rsidR="00323498" w:rsidRPr="00D12368" w:rsidRDefault="00323498" w:rsidP="00CC751A">
      <w:pPr>
        <w:spacing w:line="360" w:lineRule="auto"/>
        <w:ind w:firstLine="720"/>
        <w:jc w:val="both"/>
        <w:rPr>
          <w:rFonts w:ascii="Times New Roman" w:hAnsi="Times New Roman" w:cs="Times New Roman"/>
          <w:sz w:val="24"/>
          <w:szCs w:val="24"/>
        </w:rPr>
      </w:pPr>
    </w:p>
    <w:sectPr w:rsidR="00323498" w:rsidRPr="00D12368" w:rsidSect="003A03A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BBB" w:rsidRDefault="001C4BBB" w:rsidP="00CC751A">
      <w:pPr>
        <w:spacing w:after="0" w:line="240" w:lineRule="auto"/>
      </w:pPr>
      <w:r>
        <w:separator/>
      </w:r>
    </w:p>
  </w:endnote>
  <w:endnote w:type="continuationSeparator" w:id="1">
    <w:p w:rsidR="001C4BBB" w:rsidRDefault="001C4BBB" w:rsidP="00CC7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BBB" w:rsidRDefault="001C4BBB" w:rsidP="00CC751A">
      <w:pPr>
        <w:spacing w:after="0" w:line="240" w:lineRule="auto"/>
      </w:pPr>
      <w:r>
        <w:separator/>
      </w:r>
    </w:p>
  </w:footnote>
  <w:footnote w:type="continuationSeparator" w:id="1">
    <w:p w:rsidR="001C4BBB" w:rsidRDefault="001C4BBB" w:rsidP="00CC751A">
      <w:pPr>
        <w:spacing w:after="0" w:line="240" w:lineRule="auto"/>
      </w:pPr>
      <w:r>
        <w:continuationSeparator/>
      </w:r>
    </w:p>
  </w:footnote>
  <w:footnote w:id="2">
    <w:p w:rsidR="0073279A" w:rsidRDefault="0073279A">
      <w:pPr>
        <w:pStyle w:val="FootnoteText"/>
      </w:pPr>
      <w:r>
        <w:rPr>
          <w:rStyle w:val="FootnoteReference"/>
        </w:rPr>
        <w:footnoteRef/>
      </w:r>
      <w:r>
        <w:t xml:space="preserve"> M A Hailuki, </w:t>
      </w:r>
      <w:r w:rsidR="00492C61">
        <w:t>“</w:t>
      </w:r>
      <w:r w:rsidRPr="0073279A">
        <w:t>3 TKI Diberondong Peluru 5 Polisi Malaysia</w:t>
      </w:r>
      <w:r w:rsidR="00492C61">
        <w:t xml:space="preserve">,” </w:t>
      </w:r>
      <w:hyperlink r:id="rId1" w:history="1">
        <w:r w:rsidR="00492C61" w:rsidRPr="00FB28CB">
          <w:rPr>
            <w:rStyle w:val="Hyperlink"/>
          </w:rPr>
          <w:t>http://nasional.inilah.com/read/detail/1855261/3-tki-diberondong-peluru-5-polisi-malaysia</w:t>
        </w:r>
      </w:hyperlink>
      <w:r w:rsidR="00492C61">
        <w:t xml:space="preserve"> (akses 27 Mei 2012)</w:t>
      </w:r>
    </w:p>
  </w:footnote>
  <w:footnote w:id="3">
    <w:p w:rsidR="000E450C" w:rsidRDefault="000E450C" w:rsidP="000E450C">
      <w:pPr>
        <w:pStyle w:val="FootnoteText"/>
      </w:pPr>
      <w:r>
        <w:rPr>
          <w:rStyle w:val="FootnoteReference"/>
        </w:rPr>
        <w:footnoteRef/>
      </w:r>
      <w:r>
        <w:t xml:space="preserve"> Prijono Tjiptoherijanto, Laila Nagib, </w:t>
      </w:r>
      <w:r w:rsidRPr="000E450C">
        <w:rPr>
          <w:i/>
        </w:rPr>
        <w:t>Pengembangan Sumber Daya Manusia: di antara Peluang dan Tantangan</w:t>
      </w:r>
      <w:r>
        <w:t xml:space="preserve"> (Jakarta : LIPI Press, 2008), hlm. 93.</w:t>
      </w:r>
    </w:p>
  </w:footnote>
  <w:footnote w:id="4">
    <w:p w:rsidR="009D3CA9" w:rsidRDefault="009D3CA9">
      <w:pPr>
        <w:pStyle w:val="FootnoteText"/>
      </w:pPr>
      <w:r>
        <w:rPr>
          <w:rStyle w:val="FootnoteReference"/>
        </w:rPr>
        <w:footnoteRef/>
      </w:r>
      <w:r>
        <w:t xml:space="preserve"> </w:t>
      </w:r>
      <w:r w:rsidRPr="009D3CA9">
        <w:t xml:space="preserve">Hamid Awaludin, </w:t>
      </w:r>
      <w:r w:rsidRPr="009D3CA9">
        <w:rPr>
          <w:i/>
        </w:rPr>
        <w:t>Solusi JK : logis, spontan, tegas, dan jenaka</w:t>
      </w:r>
      <w:r w:rsidRPr="009D3CA9">
        <w:t xml:space="preserve"> (Jakarta : Grasindo,2009), hlm. 37.</w:t>
      </w:r>
    </w:p>
  </w:footnote>
  <w:footnote w:id="5">
    <w:p w:rsidR="00B91EF9" w:rsidRPr="00B91EF9" w:rsidRDefault="00B91EF9">
      <w:pPr>
        <w:pStyle w:val="FootnoteText"/>
      </w:pPr>
      <w:r>
        <w:rPr>
          <w:rStyle w:val="FootnoteReference"/>
        </w:rPr>
        <w:footnoteRef/>
      </w:r>
      <w:r>
        <w:t xml:space="preserve"> Dr. Lalu Husni, S.H., M.Hum., </w:t>
      </w:r>
      <w:r w:rsidRPr="00B91EF9">
        <w:rPr>
          <w:i/>
        </w:rPr>
        <w:t>Hukum Ketenagakerjaan Indonesia</w:t>
      </w:r>
      <w:r>
        <w:t xml:space="preserve"> (rev. ed.;Jakarta:</w:t>
      </w:r>
      <w:r w:rsidR="00FC3DD5">
        <w:t xml:space="preserve"> Rajawali Pers,2010), hlm. 100.</w:t>
      </w:r>
    </w:p>
  </w:footnote>
  <w:footnote w:id="6">
    <w:p w:rsidR="00287421" w:rsidRDefault="00287421">
      <w:pPr>
        <w:pStyle w:val="FootnoteText"/>
      </w:pPr>
      <w:r>
        <w:rPr>
          <w:rStyle w:val="FootnoteReference"/>
        </w:rPr>
        <w:footnoteRef/>
      </w:r>
      <w:r>
        <w:t xml:space="preserve"> Ibid.,hlm.109.</w:t>
      </w:r>
    </w:p>
  </w:footnote>
  <w:footnote w:id="7">
    <w:p w:rsidR="00A54E18" w:rsidRPr="00A54E18" w:rsidRDefault="00A54E18">
      <w:pPr>
        <w:pStyle w:val="FootnoteText"/>
      </w:pPr>
      <w:r>
        <w:rPr>
          <w:rStyle w:val="FootnoteReference"/>
        </w:rPr>
        <w:footnoteRef/>
      </w:r>
      <w:r>
        <w:t xml:space="preserve"> Ahmad Hudaifah, “</w:t>
      </w:r>
      <w:r w:rsidRPr="00A54E18">
        <w:t>Akar Permasalahan Tenaga Kerja Indonesia di Malaysia</w:t>
      </w:r>
      <w:r>
        <w:t xml:space="preserve">”, </w:t>
      </w:r>
      <w:hyperlink r:id="rId2" w:history="1">
        <w:r w:rsidRPr="00E96407">
          <w:rPr>
            <w:rStyle w:val="Hyperlink"/>
          </w:rPr>
          <w:t>http://news.detik.com/read/2010/01/21/181232/1283590/471/akar-permasalahan-tenaga-kerja-indonesia-di-malaysia</w:t>
        </w:r>
      </w:hyperlink>
      <w:r>
        <w:t xml:space="preserve"> (akses tanggal 28 Mei 2012)</w:t>
      </w:r>
    </w:p>
  </w:footnote>
  <w:footnote w:id="8">
    <w:p w:rsidR="00C83327" w:rsidRDefault="00C83327">
      <w:pPr>
        <w:pStyle w:val="FootnoteText"/>
      </w:pPr>
      <w:r>
        <w:rPr>
          <w:rStyle w:val="FootnoteReference"/>
        </w:rPr>
        <w:footnoteRef/>
      </w:r>
      <w:r>
        <w:t xml:space="preserve"> </w:t>
      </w:r>
      <w:r w:rsidR="00B36ACB">
        <w:t xml:space="preserve">Zulham Mubarak, “Kisah Para Mantan TKI yang Memanen Sukses di Tanah Air”, </w:t>
      </w:r>
      <w:hyperlink r:id="rId3" w:history="1">
        <w:r w:rsidR="00B36ACB" w:rsidRPr="000A559F">
          <w:rPr>
            <w:rStyle w:val="Hyperlink"/>
          </w:rPr>
          <w:t>http://papahende.multiply.com/journal/item/153</w:t>
        </w:r>
      </w:hyperlink>
      <w:r w:rsidR="00B36ACB">
        <w:t xml:space="preserve"> (akses 28 Mei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C6B"/>
    <w:multiLevelType w:val="hybridMultilevel"/>
    <w:tmpl w:val="C5EA583E"/>
    <w:lvl w:ilvl="0" w:tplc="2862A7AA">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E13358"/>
    <w:multiLevelType w:val="hybridMultilevel"/>
    <w:tmpl w:val="F4A05B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E01F27"/>
    <w:multiLevelType w:val="hybridMultilevel"/>
    <w:tmpl w:val="99EA2A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72E459B"/>
    <w:multiLevelType w:val="hybridMultilevel"/>
    <w:tmpl w:val="F6F85376"/>
    <w:lvl w:ilvl="0" w:tplc="0421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4">
    <w:nsid w:val="635F1207"/>
    <w:multiLevelType w:val="hybridMultilevel"/>
    <w:tmpl w:val="7AF0EBB6"/>
    <w:lvl w:ilvl="0" w:tplc="0421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5">
    <w:nsid w:val="752907B8"/>
    <w:multiLevelType w:val="hybridMultilevel"/>
    <w:tmpl w:val="84182B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1366"/>
    <w:rsid w:val="00002200"/>
    <w:rsid w:val="00077860"/>
    <w:rsid w:val="000967A4"/>
    <w:rsid w:val="000B6897"/>
    <w:rsid w:val="000C7856"/>
    <w:rsid w:val="000E450C"/>
    <w:rsid w:val="000F22FF"/>
    <w:rsid w:val="00103BBF"/>
    <w:rsid w:val="00122286"/>
    <w:rsid w:val="0013358E"/>
    <w:rsid w:val="001C3CE2"/>
    <w:rsid w:val="001C4BBB"/>
    <w:rsid w:val="001C7EF1"/>
    <w:rsid w:val="001D01EC"/>
    <w:rsid w:val="002206A9"/>
    <w:rsid w:val="002211AD"/>
    <w:rsid w:val="00226198"/>
    <w:rsid w:val="00287421"/>
    <w:rsid w:val="0029063D"/>
    <w:rsid w:val="002F1087"/>
    <w:rsid w:val="00323498"/>
    <w:rsid w:val="003307CD"/>
    <w:rsid w:val="003A03A8"/>
    <w:rsid w:val="003E6F84"/>
    <w:rsid w:val="004048C3"/>
    <w:rsid w:val="0042692C"/>
    <w:rsid w:val="00433557"/>
    <w:rsid w:val="0043449B"/>
    <w:rsid w:val="004807EF"/>
    <w:rsid w:val="00480EC2"/>
    <w:rsid w:val="00492C61"/>
    <w:rsid w:val="004A6BE7"/>
    <w:rsid w:val="004B5B05"/>
    <w:rsid w:val="004D09A5"/>
    <w:rsid w:val="004D11D1"/>
    <w:rsid w:val="00500F5A"/>
    <w:rsid w:val="00503396"/>
    <w:rsid w:val="00537D84"/>
    <w:rsid w:val="005405A6"/>
    <w:rsid w:val="00560477"/>
    <w:rsid w:val="005670E3"/>
    <w:rsid w:val="00596827"/>
    <w:rsid w:val="005A5138"/>
    <w:rsid w:val="005D779D"/>
    <w:rsid w:val="005E440B"/>
    <w:rsid w:val="00600B73"/>
    <w:rsid w:val="00607828"/>
    <w:rsid w:val="00613BCE"/>
    <w:rsid w:val="006301F2"/>
    <w:rsid w:val="00632737"/>
    <w:rsid w:val="00672DDB"/>
    <w:rsid w:val="00697CCA"/>
    <w:rsid w:val="006A2601"/>
    <w:rsid w:val="006D2851"/>
    <w:rsid w:val="006D3BED"/>
    <w:rsid w:val="006E50DF"/>
    <w:rsid w:val="006F108C"/>
    <w:rsid w:val="007022B4"/>
    <w:rsid w:val="0072478B"/>
    <w:rsid w:val="0073279A"/>
    <w:rsid w:val="00733BDC"/>
    <w:rsid w:val="00751565"/>
    <w:rsid w:val="00764E9D"/>
    <w:rsid w:val="007C32A4"/>
    <w:rsid w:val="007D3080"/>
    <w:rsid w:val="00846EAB"/>
    <w:rsid w:val="00851017"/>
    <w:rsid w:val="00871366"/>
    <w:rsid w:val="008A2BA0"/>
    <w:rsid w:val="008B3B66"/>
    <w:rsid w:val="008C432A"/>
    <w:rsid w:val="009278C9"/>
    <w:rsid w:val="00927B0A"/>
    <w:rsid w:val="00943048"/>
    <w:rsid w:val="00943750"/>
    <w:rsid w:val="00947F67"/>
    <w:rsid w:val="009A1E52"/>
    <w:rsid w:val="009D3CA9"/>
    <w:rsid w:val="009D6468"/>
    <w:rsid w:val="009E1886"/>
    <w:rsid w:val="009E52E5"/>
    <w:rsid w:val="00A23306"/>
    <w:rsid w:val="00A273C7"/>
    <w:rsid w:val="00A54E18"/>
    <w:rsid w:val="00AB2B13"/>
    <w:rsid w:val="00AD7F6F"/>
    <w:rsid w:val="00AF686A"/>
    <w:rsid w:val="00B26430"/>
    <w:rsid w:val="00B26E90"/>
    <w:rsid w:val="00B32F5E"/>
    <w:rsid w:val="00B34637"/>
    <w:rsid w:val="00B36ACB"/>
    <w:rsid w:val="00B74EC0"/>
    <w:rsid w:val="00B86447"/>
    <w:rsid w:val="00B91EF9"/>
    <w:rsid w:val="00BD268E"/>
    <w:rsid w:val="00C04DC3"/>
    <w:rsid w:val="00C11E13"/>
    <w:rsid w:val="00C14878"/>
    <w:rsid w:val="00C14B85"/>
    <w:rsid w:val="00C343E5"/>
    <w:rsid w:val="00C62D2C"/>
    <w:rsid w:val="00C757B9"/>
    <w:rsid w:val="00C83327"/>
    <w:rsid w:val="00CB718F"/>
    <w:rsid w:val="00CC751A"/>
    <w:rsid w:val="00CD376F"/>
    <w:rsid w:val="00D02BCD"/>
    <w:rsid w:val="00D12368"/>
    <w:rsid w:val="00D41711"/>
    <w:rsid w:val="00D7708D"/>
    <w:rsid w:val="00D92EED"/>
    <w:rsid w:val="00DA559A"/>
    <w:rsid w:val="00DB62FE"/>
    <w:rsid w:val="00E157B8"/>
    <w:rsid w:val="00E51CBE"/>
    <w:rsid w:val="00E6387B"/>
    <w:rsid w:val="00E8258E"/>
    <w:rsid w:val="00EC28EF"/>
    <w:rsid w:val="00EC768F"/>
    <w:rsid w:val="00EF2AEE"/>
    <w:rsid w:val="00F25EC7"/>
    <w:rsid w:val="00F45CD5"/>
    <w:rsid w:val="00F962B2"/>
    <w:rsid w:val="00FC3DD5"/>
    <w:rsid w:val="00FC473A"/>
    <w:rsid w:val="00FE5E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84"/>
  </w:style>
  <w:style w:type="paragraph" w:styleId="Heading3">
    <w:name w:val="heading 3"/>
    <w:basedOn w:val="Normal"/>
    <w:link w:val="Heading3Char"/>
    <w:uiPriority w:val="9"/>
    <w:qFormat/>
    <w:rsid w:val="0087136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366"/>
    <w:rPr>
      <w:rFonts w:ascii="Times New Roman" w:eastAsia="Times New Roman" w:hAnsi="Times New Roman" w:cs="Times New Roman"/>
      <w:b/>
      <w:bCs/>
      <w:sz w:val="27"/>
      <w:szCs w:val="27"/>
      <w:lang w:eastAsia="id-ID"/>
    </w:rPr>
  </w:style>
  <w:style w:type="character" w:customStyle="1" w:styleId="apple-style-span">
    <w:name w:val="apple-style-span"/>
    <w:basedOn w:val="DefaultParagraphFont"/>
    <w:rsid w:val="00871366"/>
  </w:style>
  <w:style w:type="character" w:customStyle="1" w:styleId="apple-converted-space">
    <w:name w:val="apple-converted-space"/>
    <w:basedOn w:val="DefaultParagraphFont"/>
    <w:rsid w:val="00871366"/>
  </w:style>
  <w:style w:type="paragraph" w:styleId="BalloonText">
    <w:name w:val="Balloon Text"/>
    <w:basedOn w:val="Normal"/>
    <w:link w:val="BalloonTextChar"/>
    <w:uiPriority w:val="99"/>
    <w:semiHidden/>
    <w:unhideWhenUsed/>
    <w:rsid w:val="0087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66"/>
    <w:rPr>
      <w:rFonts w:ascii="Tahoma" w:hAnsi="Tahoma" w:cs="Tahoma"/>
      <w:sz w:val="16"/>
      <w:szCs w:val="16"/>
    </w:rPr>
  </w:style>
  <w:style w:type="paragraph" w:styleId="Subtitle">
    <w:name w:val="Subtitle"/>
    <w:basedOn w:val="Normal"/>
    <w:next w:val="Normal"/>
    <w:link w:val="SubtitleChar"/>
    <w:uiPriority w:val="11"/>
    <w:qFormat/>
    <w:rsid w:val="00C343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43E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C28EF"/>
    <w:pPr>
      <w:ind w:left="720"/>
      <w:contextualSpacing/>
    </w:pPr>
  </w:style>
  <w:style w:type="paragraph" w:styleId="FootnoteText">
    <w:name w:val="footnote text"/>
    <w:basedOn w:val="Normal"/>
    <w:link w:val="FootnoteTextChar"/>
    <w:uiPriority w:val="99"/>
    <w:semiHidden/>
    <w:unhideWhenUsed/>
    <w:rsid w:val="00CC7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51A"/>
    <w:rPr>
      <w:sz w:val="20"/>
      <w:szCs w:val="20"/>
    </w:rPr>
  </w:style>
  <w:style w:type="character" w:styleId="FootnoteReference">
    <w:name w:val="footnote reference"/>
    <w:basedOn w:val="DefaultParagraphFont"/>
    <w:uiPriority w:val="99"/>
    <w:semiHidden/>
    <w:unhideWhenUsed/>
    <w:rsid w:val="00CC751A"/>
    <w:rPr>
      <w:vertAlign w:val="superscript"/>
    </w:rPr>
  </w:style>
  <w:style w:type="character" w:styleId="Hyperlink">
    <w:name w:val="Hyperlink"/>
    <w:basedOn w:val="DefaultParagraphFont"/>
    <w:uiPriority w:val="99"/>
    <w:unhideWhenUsed/>
    <w:rsid w:val="00CC7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37135">
      <w:bodyDiv w:val="1"/>
      <w:marLeft w:val="0"/>
      <w:marRight w:val="0"/>
      <w:marTop w:val="0"/>
      <w:marBottom w:val="0"/>
      <w:divBdr>
        <w:top w:val="none" w:sz="0" w:space="0" w:color="auto"/>
        <w:left w:val="none" w:sz="0" w:space="0" w:color="auto"/>
        <w:bottom w:val="none" w:sz="0" w:space="0" w:color="auto"/>
        <w:right w:val="none" w:sz="0" w:space="0" w:color="auto"/>
      </w:divBdr>
    </w:div>
    <w:div w:id="445582505">
      <w:bodyDiv w:val="1"/>
      <w:marLeft w:val="0"/>
      <w:marRight w:val="0"/>
      <w:marTop w:val="0"/>
      <w:marBottom w:val="0"/>
      <w:divBdr>
        <w:top w:val="none" w:sz="0" w:space="0" w:color="auto"/>
        <w:left w:val="none" w:sz="0" w:space="0" w:color="auto"/>
        <w:bottom w:val="none" w:sz="0" w:space="0" w:color="auto"/>
        <w:right w:val="none" w:sz="0" w:space="0" w:color="auto"/>
      </w:divBdr>
      <w:divsChild>
        <w:div w:id="1943537151">
          <w:marLeft w:val="0"/>
          <w:marRight w:val="0"/>
          <w:marTop w:val="0"/>
          <w:marBottom w:val="356"/>
          <w:divBdr>
            <w:top w:val="none" w:sz="0" w:space="0" w:color="auto"/>
            <w:left w:val="none" w:sz="0" w:space="0" w:color="auto"/>
            <w:bottom w:val="none" w:sz="0" w:space="0" w:color="auto"/>
            <w:right w:val="none" w:sz="0" w:space="0" w:color="auto"/>
          </w:divBdr>
        </w:div>
        <w:div w:id="909387019">
          <w:marLeft w:val="0"/>
          <w:marRight w:val="0"/>
          <w:marTop w:val="0"/>
          <w:marBottom w:val="356"/>
          <w:divBdr>
            <w:top w:val="none" w:sz="0" w:space="0" w:color="auto"/>
            <w:left w:val="none" w:sz="0" w:space="0" w:color="auto"/>
            <w:bottom w:val="none" w:sz="0" w:space="0" w:color="auto"/>
            <w:right w:val="none" w:sz="0" w:space="0" w:color="auto"/>
          </w:divBdr>
          <w:divsChild>
            <w:div w:id="3046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3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apahende.multiply.com/journal/item/153" TargetMode="External"/><Relationship Id="rId2" Type="http://schemas.openxmlformats.org/officeDocument/2006/relationships/hyperlink" Target="http://news.detik.com/read/2010/01/21/181232/1283590/471/akar-permasalahan-tenaga-kerja-indonesia-di-malaysia" TargetMode="External"/><Relationship Id="rId1" Type="http://schemas.openxmlformats.org/officeDocument/2006/relationships/hyperlink" Target="http://nasional.inilah.com/read/detail/1855261/3-tki-diberondong-peluru-5-polisi-malay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56D3-BACF-4892-82F3-A8BF6BB2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2012-05-30T14:40:00Z</dcterms:created>
  <dcterms:modified xsi:type="dcterms:W3CDTF">2012-05-30T15:05:00Z</dcterms:modified>
</cp:coreProperties>
</file>